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550.000114440918" w:type="dxa"/>
        <w:jc w:val="left"/>
        <w:tblInd w:w="129.369583129882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50.000114440918"/>
        <w:tblGridChange w:id="0">
          <w:tblGrid>
            <w:gridCol w:w="13550.000114440918"/>
          </w:tblGrid>
        </w:tblGridChange>
      </w:tblGrid>
      <w:tr>
        <w:trPr>
          <w:cantSplit w:val="0"/>
          <w:trHeight w:val="54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New Village Academy 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.76074218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00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00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Affordability Proforma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616699218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July 24, 2023 </w:t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9.8975753784179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Analysis Start Date August 1, 2023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961669921875" w:line="240" w:lineRule="auto"/>
        <w:ind w:left="159.552001953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Fiscal Start Date (Yr 1) July 1, 2024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3609619140625" w:line="240" w:lineRule="auto"/>
        <w:ind w:left="160.01277923583984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Building Size: 51,932 Y1 - Y2 Y3 + 15,000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9622802734375" w:line="240" w:lineRule="auto"/>
        <w:ind w:left="1732.201576232910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  <w:sectPr>
          <w:pgSz w:h="12240" w:w="15840" w:orient="landscape"/>
          <w:pgMar w:bottom="1476.0000610351562" w:top="1375.2001953125" w:left="408.2304000854492" w:right="1752.39990234375" w:header="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c5d9f1" w:val="clear"/>
          <w:vertAlign w:val="baseline"/>
          <w:rtl w:val="0"/>
        </w:rPr>
        <w:t xml:space="preserve">School SF: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44062"/>
          <w:sz w:val="11.519999504089355"/>
          <w:szCs w:val="11.519999504089355"/>
          <w:u w:val="none"/>
          <w:shd w:fill="c5d9f1" w:val="clear"/>
          <w:vertAlign w:val="baseline"/>
          <w:rtl w:val="0"/>
        </w:rPr>
        <w:t xml:space="preserve">30,000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c5d9f1" w:val="clear"/>
          <w:vertAlign w:val="baseline"/>
          <w:rtl w:val="0"/>
        </w:rPr>
        <w:t xml:space="preserve">21,932 31,932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917.000236511230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917.0002365112305"/>
        <w:tblGridChange w:id="0">
          <w:tblGrid>
            <w:gridCol w:w="5917.0002365112305"/>
          </w:tblGrid>
        </w:tblGridChange>
      </w:tblGrid>
      <w:tr>
        <w:trPr>
          <w:cantSplit w:val="0"/>
          <w:trHeight w:val="17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USES OF FINANCING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32.753295898437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single"/>
          <w:shd w:fill="auto" w:val="clear"/>
          <w:vertAlign w:val="baseline"/>
          <w:rtl w:val="0"/>
        </w:rPr>
        <w:t xml:space="preserve">Phase 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single"/>
          <w:shd w:fill="auto" w:val="clear"/>
          <w:vertAlign w:val="baseline"/>
          <w:rtl w:val="0"/>
        </w:rPr>
        <w:t xml:space="preserve">Per SF Phase 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9613037109375" w:line="295.71410179138184" w:lineRule="auto"/>
        <w:ind w:left="32.025604248046875" w:right="440.6005859375" w:hanging="1.382408142089843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Property Acquisition $ - $ - $ - Closing Costs $ 10,000 $ 0.46 $ 5,000 </w:t>
      </w:r>
    </w:p>
    <w:tbl>
      <w:tblPr>
        <w:tblStyle w:val="Table3"/>
        <w:tblW w:w="5729.801025390625" w:type="dxa"/>
        <w:jc w:val="left"/>
        <w:tblInd w:w="540.999755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29.801025390625"/>
        <w:tblGridChange w:id="0">
          <w:tblGrid>
            <w:gridCol w:w="5729.801025390625"/>
          </w:tblGrid>
        </w:tblGridChange>
      </w:tblGrid>
      <w:tr>
        <w:trPr>
          <w:cantSplit w:val="0"/>
          <w:trHeight w:val="17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USES OF FINANCING</w:t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4678.20068359375" w:type="dxa"/>
        <w:jc w:val="left"/>
        <w:tblInd w:w="1592.60009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9.599609375"/>
        <w:gridCol w:w="969.600830078125"/>
        <w:gridCol w:w="981.59912109375"/>
        <w:gridCol w:w="893.40087890625"/>
        <w:gridCol w:w="924.000244140625"/>
        <w:tblGridChange w:id="0">
          <w:tblGrid>
            <w:gridCol w:w="909.599609375"/>
            <w:gridCol w:w="969.600830078125"/>
            <w:gridCol w:w="981.59912109375"/>
            <w:gridCol w:w="893.40087890625"/>
            <w:gridCol w:w="924.000244140625"/>
          </w:tblGrid>
        </w:tblGridChange>
      </w:tblGrid>
      <w:tr>
        <w:trPr>
          <w:cantSplit w:val="0"/>
          <w:trHeight w:val="340.800170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Senior Debt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Seller Financing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Sub-debt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6176757812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 (CSDC/CDFI's)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Phase II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School Refi 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476.0000610351562" w:top="1375.2001953125" w:left="537.599983215332" w:right="2731.59912109375" w:header="0" w:footer="720"/>
          <w:cols w:equalWidth="0" w:num="2">
            <w:col w:space="0" w:w="6300"/>
            <w:col w:space="0" w:w="630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.8900032043457" w:lineRule="auto"/>
        <w:ind w:left="2320.9693908691406" w:right="1036.800537109375" w:hanging="2157.96142578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Site Work Loan Amount $ 2,598,979 $ - $ 649,745 $ 1,942,031 $ 5,556,572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ffff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$ 150.00 $ 3,289,800 $ 150 $ 1,500,000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5.7146453857422" w:lineRule="auto"/>
        <w:ind w:left="0" w:right="998.39965820312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Improvements - Hard Costs LTC 80.0% 0.0% 20.0% 0.0% 0% Solf Costs (legal, loan fees, design fees, due diligence) 10.00% $ 328,980 $ 15 $ 150,000 Interest Rate 7.00% 0.00% 6.50% 6.50% 7.00%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ffff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##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Capitalized Interest 6.0 mos $ 90,964 $ 4 $ 63,116 AmortTerm (years) 20 1 20 20 20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2181396484375" w:line="232.19844818115234" w:lineRule="auto"/>
        <w:ind w:left="160.12798309326172" w:right="1036.79931640625" w:firstLine="1.267204284667968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476.0000610351562" w:top="1375.2001953125" w:left="408.2304000854492" w:right="1752.39990234375" w:header="0" w:footer="720"/>
          <w:cols w:equalWidth="0" w:num="1">
            <w:col w:space="0" w:w="13679.369697570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CSDC Fee (NOT Capitalized in Financing) 2.50% $ 101,218 $ 5 $ 47,367 Monthly Payment $ 20,150 $ - $ 4,844 $ 14,479 $ 43,080 Contingency 10.00% $ 328,980 $ 15 $ 176,548 Annual Payment $ 241,798 $ - $ 58,132 $ 173,751 $ 516,961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1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Total Project Cost $ 4,149,942 $ 189 $ 1,942,031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highlight w:val="white"/>
          <w:u w:val="none"/>
          <w:vertAlign w:val="baseline"/>
          <w:rtl w:val="0"/>
        </w:rPr>
        <w:t xml:space="preserve">Monthly payment (I/O) $ 15,161 $ 3,519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$ 10,519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8db4e2" w:val="clear"/>
          <w:vertAlign w:val="baseline"/>
          <w:rtl w:val="0"/>
        </w:rPr>
        <w:t xml:space="preserve">$ 32,413.34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c5d9f1" w:val="clear"/>
          <w:vertAlign w:val="baseline"/>
          <w:rtl w:val="0"/>
        </w:rPr>
        <w:t xml:space="preserve">Total to be Financed LESS Fee &amp; $800K Tenant Allowance: $ 3,248,724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5917.000236511230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917.0002365112305"/>
        <w:tblGridChange w:id="0">
          <w:tblGrid>
            <w:gridCol w:w="5917.0002365112305"/>
          </w:tblGrid>
        </w:tblGridChange>
      </w:tblGrid>
      <w:tr>
        <w:trPr>
          <w:cantSplit w:val="0"/>
          <w:trHeight w:val="12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  <w:rtl w:val="0"/>
              </w:rPr>
              <w:t xml:space="preserve">SOURCES OF FINANCING </w:t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ff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ff"/>
          <w:sz w:val="11.519999504089355"/>
          <w:szCs w:val="11.519999504089355"/>
          <w:u w:val="single"/>
          <w:shd w:fill="244062" w:val="clear"/>
          <w:vertAlign w:val="baseline"/>
          <w:rtl w:val="0"/>
        </w:rPr>
        <w:t xml:space="preserve">CSDC Turnkey Standard Deal Terms: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ff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476.0000610351562" w:top="1375.2001953125" w:left="537.599983215332" w:right="2977.249755859375" w:header="0" w:footer="720"/>
          <w:cols w:equalWidth="0" w:num="3">
            <w:col w:space="0" w:w="4120"/>
            <w:col w:space="0" w:w="4120"/>
            <w:col w:space="0" w:w="412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single"/>
          <w:shd w:fill="b8cce4" w:val="clear"/>
          <w:vertAlign w:val="baseline"/>
          <w:rtl w:val="0"/>
        </w:rPr>
        <w:t xml:space="preserve">Lease Breakdown for CSDC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62060546875" w:line="254.06447410583496" w:lineRule="auto"/>
        <w:ind w:left="163.00800323486328" w:right="193.70849609375" w:hanging="0.8064270019531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single"/>
          <w:shd w:fill="auto" w:val="clear"/>
          <w:vertAlign w:val="baseline"/>
          <w:rtl w:val="0"/>
        </w:rPr>
        <w:t xml:space="preserve">Sources of Financing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single"/>
          <w:shd w:fill="auto" w:val="clear"/>
          <w:vertAlign w:val="baseline"/>
          <w:rtl w:val="0"/>
        </w:rPr>
        <w:t xml:space="preserve">% of Total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10 year lease with 2 five year renewal options School: $ 280,362.96 Senior Debt $ 2,598,979 $ 50 80% CSDC base rent based on 1.22x ds increasing by 3% per year starting Y3 THC: $ 175,600.00 Seller Financing $ - $ - 0% CSDC lease w/ Westfield NOT subject to 1.22x debt service $ 455,962.96 Sub-debt (CSDC/CDFI's) $ 649,745 $ 13 20% CSDC subleases 51,932 sf to School Excess Rent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099609375" w:line="254.06481742858887" w:lineRule="auto"/>
        <w:ind w:left="160.01277923583984" w:right="57.6000976562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476.0000610351562" w:top="1375.2001953125" w:left="408.2304000854492" w:right="1752.39990234375" w:header="0" w:footer="720"/>
          <w:cols w:equalWidth="0" w:num="1">
            <w:col w:space="0" w:w="13679.369697570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Phase II $ 1,942,031 $ 37 60%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highlight w:val="white"/>
          <w:u w:val="none"/>
          <w:vertAlign w:val="baseline"/>
          <w:rtl w:val="0"/>
        </w:rPr>
        <w:t xml:space="preserve">School sub-subleases +/- 20,000 sf to Total Health Care ("THC")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b8cce4" w:val="clear"/>
          <w:vertAlign w:val="baseline"/>
          <w:rtl w:val="0"/>
        </w:rPr>
        <w:t xml:space="preserve">THC @ $15/sf: $ 300,000.00 $ 124,400.00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Total Sources Phase I $ 3,248,724 $ 148 100% School receives rent (credit) from sub-sublease THC @ $20/sf: $ 400,000.00 $ 224,400.00 Total Sources Phase I &amp; II $ 5,190,755 $ 163 Refi to occur in Y5 THC @ $25 sf: $ 500,000.00 $ 324,400.00 CSDC's standard TDP terms 7.50% = to 2.50% upon signing lease/5.00% at Refi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2143.599967956543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3.599967956543"/>
        <w:tblGridChange w:id="0">
          <w:tblGrid>
            <w:gridCol w:w="2143.599967956543"/>
          </w:tblGrid>
        </w:tblGridChange>
      </w:tblGrid>
      <w:tr>
        <w:trPr>
          <w:cantSplit w:val="0"/>
          <w:trHeight w:val="146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.83680725097656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  <w:rtl w:val="0"/>
              </w:rPr>
              <w:t xml:space="preserve">Affordability Analysis </w:t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09.600219726562" w:type="dxa"/>
        <w:jc w:val="left"/>
        <w:tblInd w:w="4140.3997802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6.600341796875"/>
        <w:gridCol w:w="900"/>
        <w:gridCol w:w="923.9996337890625"/>
        <w:gridCol w:w="1051.600341796875"/>
        <w:gridCol w:w="909.599609375"/>
        <w:gridCol w:w="969.600830078125"/>
        <w:gridCol w:w="981.59912109375"/>
        <w:gridCol w:w="893.40087890625"/>
        <w:gridCol w:w="924.000244140625"/>
        <w:gridCol w:w="979.19921875"/>
        <w:tblGridChange w:id="0">
          <w:tblGrid>
            <w:gridCol w:w="876.600341796875"/>
            <w:gridCol w:w="900"/>
            <w:gridCol w:w="923.9996337890625"/>
            <w:gridCol w:w="1051.600341796875"/>
            <w:gridCol w:w="909.599609375"/>
            <w:gridCol w:w="969.600830078125"/>
            <w:gridCol w:w="981.59912109375"/>
            <w:gridCol w:w="893.40087890625"/>
            <w:gridCol w:w="924.000244140625"/>
            <w:gridCol w:w="979.19921875"/>
          </w:tblGrid>
        </w:tblGridChange>
      </w:tblGrid>
      <w:tr>
        <w:trPr>
          <w:cantSplit w:val="0"/>
          <w:trHeight w:val="146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  <w:rtl w:val="0"/>
              </w:rPr>
              <w:t xml:space="preserve">Year 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Year 10</w:t>
            </w:r>
          </w:p>
        </w:tc>
      </w:tr>
      <w:tr>
        <w:trPr>
          <w:cantSplit w:val="0"/>
          <w:trHeight w:val="14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2024-25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2025-26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2026-27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  <w:rtl w:val="0"/>
              </w:rPr>
              <w:t xml:space="preserve">2027-28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2028-29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2029-30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2030-31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2031-32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2032-33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2033-34</w:t>
            </w:r>
          </w:p>
        </w:tc>
      </w:tr>
      <w:tr>
        <w:trPr>
          <w:cantSplit w:val="0"/>
          <w:trHeight w:val="146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244062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11.519999504089355"/>
                <w:szCs w:val="11.519999504089355"/>
                <w:u w:val="none"/>
                <w:shd w:fill="auto" w:val="clear"/>
                <w:vertAlign w:val="baseline"/>
                <w:rtl w:val="0"/>
              </w:rPr>
              <w:t xml:space="preserve">12 Months</w:t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476.0000610351562" w:top="1375.2001953125" w:left="537.599983215332" w:right="1752.39990234375" w:header="0" w:footer="720"/>
          <w:cols w:equalWidth="0" w:num="2">
            <w:col w:space="0" w:w="6780"/>
            <w:col w:space="0" w:w="678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.06375885009766" w:lineRule="auto"/>
        <w:ind w:left="2855.4977416992188" w:right="57.60009765625" w:hanging="2695.484924316406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Projected Student Enrollment 150 185 220 250 250 250 250 250 250 250 Anticipated Per Pupil Revenue $ 16,311 $ 16,963 $ 17,642 $ 18,348 $ 19,082 $ 19,845 $ 20,639 $ 21,465 $ 22,323 $ 23,216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1.611328125" w:line="272.8077220916748" w:lineRule="auto"/>
        <w:ind w:left="160.01277923583984" w:right="172.838134765625" w:firstLine="2.9952239990234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476.0000610351562" w:top="1375.2001953125" w:left="408.2304000854492" w:right="1752.39990234375" w:header="0" w:footer="720"/>
          <w:cols w:equalWidth="0" w:num="1">
            <w:col w:space="0" w:w="13679.369697570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Senior Debt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Y1 I/O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$ 241,798 $ 241,798 $ 241,798 $ 241,798 $ 241,798 $ - $ - $ - $ - $ - Seller Financing $ - $ - $ - $ - $ - $ - $ - $ - $ - $ - Sub-debt (CSDC/CDFI's)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Y1 4 Mos. I/O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$ 52,832 $ 58,132 $ 58,132 $ 58,132 $ 58,132 $ - $ - $ - $ - $ - Phase II $ - $ - $ - $ 173,751 $ 173,751 $ - $ - $ - $ - $ - Total Debt Service $ 294,631 $ 299,930 $ 299,930 $ 473,681 $ 473,681 $ - $ - $ - $ - $ -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.614440917968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highlight w:val="white"/>
          <w:u w:val="none"/>
          <w:vertAlign w:val="baseline"/>
          <w:rtl w:val="0"/>
        </w:rPr>
        <w:t xml:space="preserve">Debt Service Coverage 1.22 1.22 1.24 1.26 1.28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99597167968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476.0000610351562" w:top="1375.2001953125" w:left="568.2431793212891" w:right="2917.24853515625" w:header="0" w:footer="720"/>
          <w:cols w:equalWidth="0" w:num="2">
            <w:col w:space="0" w:w="6180"/>
            <w:col w:space="0" w:w="618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8db4e2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8db4e2" w:val="clear"/>
          <w:vertAlign w:val="baseline"/>
          <w:rtl w:val="0"/>
        </w:rPr>
        <w:t xml:space="preserve">School Refinances Upon First Charter Renewal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5.9619140625" w:line="254.32565689086914" w:lineRule="auto"/>
        <w:ind w:left="160.12798309326172" w:right="19.1796875" w:firstLine="1.2672042846679688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CSDC Debt Service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Y5 - School is borrower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$ 359,449 $ 365,915 $ 371,913 $ 596,838 $ 606,312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$ 388,960 $ 516,961 $ 516,961 $ 516,961 $ 516,961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CSDC Lease w/ Westfield (not subject to 1.22x) $ 175,963 $ 455,963 $ 455,963 $ 455,963 $ 455,963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$ 455,963 $ 455,963 $ 455,963 $ 455,963 $ 455,963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THC Rent Credit @ $15/sf $ (124,400) $ (124,400) $ (124,400) $ (124,400) $ (124,400)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(124,400) $ (124,400) $ (124,400) $ (124,400) $ (124,400)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THC Rent Credit @ $20/sf $ (224,400) $ (224,400) $ (224,400) $ (224,400) $ (224,400)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(224,400) $ (224,400) $ (224,400) $ (224,400) $ (224,400)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THC Rent Credit @ $25/sf $ (324,400) $ (324,400) $ (324,400) $ (324,400) $ (324,400)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(324,400) $ (324,400) $ (324,400) $ (324,400) $ (324,400)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1.48529052734375" w:line="254.06533241271973" w:lineRule="auto"/>
        <w:ind w:left="2990.128173828125" w:right="57.60009765625" w:hanging="2830.1153564453125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highlight w:val="white"/>
          <w:u w:val="none"/>
          <w:vertAlign w:val="baseline"/>
          <w:rtl w:val="0"/>
        </w:rPr>
        <w:t xml:space="preserve">Payment per Pupil Unit (Annual) $ 3,569 $ 4,443 $ 3,763 $ 4,211 $ 4,249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highlight w:val="white"/>
          <w:u w:val="none"/>
          <w:vertAlign w:val="baseline"/>
          <w:rtl w:val="0"/>
        </w:rPr>
        <w:t xml:space="preserve">$ 3,380 $ 3,892 $ 3,892 $ 3,892 $ 3,892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$15/sf $ 2,740 $ 3,770 $ 3,198 $ 3,714 $ 3,752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$ 2,882 $ 3,394 $ 3,394 $ 3,394 $ 3,394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$20/sf $ 2,073 $ 3,230 $ 2,743 $ 3,314 $ 3,352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$ 2,482 $ 2,994 $ 2,994 $ 2,994 $ 2,994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$25/sf $ 1,407 $ 2,689 $ 2,289 $ 2,914 $ 2,952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$ 2,082 $ 2,594 $ 2,594 $ 2,594 $ 2,594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026611328125" w:line="254.06490325927734" w:lineRule="auto"/>
        <w:ind w:left="2990.128173828125" w:right="36.03759765625" w:hanging="2826.3137817382812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highlight w:val="white"/>
          <w:u w:val="none"/>
          <w:vertAlign w:val="baseline"/>
          <w:rtl w:val="0"/>
        </w:rPr>
        <w:t xml:space="preserve">% of State Per Pupil Funding 22% 26% 21% 23% 22%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highlight w:val="white"/>
          <w:u w:val="none"/>
          <w:vertAlign w:val="baseline"/>
          <w:rtl w:val="0"/>
        </w:rPr>
        <w:t xml:space="preserve">17% 19% 18% 17% 17%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$15/sf 17% 22% 18% 20% 20%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15% 16% 16% 15% 15%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$20/sf 13% 19% 16% 18% 18%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13% 15% 14% 13% 13%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$25/sf 9% 16% 13% 16% 15%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10% 13% 12% 12% 11%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.34247970581055" w:lineRule="auto"/>
        <w:ind w:left="2990.128173828125" w:right="35.980224609375" w:hanging="283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Breakeven Student Enrollment to achieve 15% of State PPF 15% 219 323 313 383 383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345 382 368 354 351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$15/sf 168 274 266 337 328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242 274 264 253 244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$20/sf 127 235 228 301 293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208 242 232 224 215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Rent Credit THC @ $25/sf 86 196 190 265 258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1.519999504089355"/>
          <w:szCs w:val="11.519999504089355"/>
          <w:u w:val="none"/>
          <w:shd w:fill="auto" w:val="clear"/>
          <w:vertAlign w:val="baseline"/>
          <w:rtl w:val="0"/>
        </w:rPr>
        <w:t xml:space="preserve">175 209 201 194 186 </w:t>
      </w:r>
    </w:p>
    <w:sectPr>
      <w:type w:val="continuous"/>
      <w:pgSz w:h="12240" w:w="15840" w:orient="landscape"/>
      <w:pgMar w:bottom="1476.0000610351562" w:top="1375.2001953125" w:left="408.2304000854492" w:right="1752.39990234375" w:header="0" w:footer="720"/>
      <w:cols w:equalWidth="0" w:num="1">
        <w:col w:space="0" w:w="13679.369697570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